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89C" w:rsidRPr="00C9750B" w:rsidRDefault="00C9750B" w:rsidP="00C9750B">
      <w:pPr>
        <w:jc w:val="center"/>
        <w:rPr>
          <w:b/>
          <w:sz w:val="28"/>
          <w:szCs w:val="28"/>
        </w:rPr>
      </w:pPr>
      <w:r>
        <w:rPr>
          <w:b/>
          <w:sz w:val="28"/>
          <w:szCs w:val="28"/>
        </w:rPr>
        <w:t xml:space="preserve">The </w:t>
      </w:r>
      <w:r w:rsidR="00CC189C" w:rsidRPr="00C9750B">
        <w:rPr>
          <w:b/>
          <w:sz w:val="28"/>
          <w:szCs w:val="28"/>
        </w:rPr>
        <w:t>Education</w:t>
      </w:r>
      <w:r>
        <w:rPr>
          <w:b/>
          <w:sz w:val="28"/>
          <w:szCs w:val="28"/>
        </w:rPr>
        <w:t xml:space="preserve"> System</w:t>
      </w:r>
      <w:r w:rsidR="00CC189C" w:rsidRPr="00C9750B">
        <w:rPr>
          <w:b/>
          <w:sz w:val="28"/>
          <w:szCs w:val="28"/>
        </w:rPr>
        <w:t xml:space="preserve"> in Canada</w:t>
      </w:r>
    </w:p>
    <w:p w:rsidR="00DB5A17" w:rsidRDefault="00DB5A17" w:rsidP="00DB5A17">
      <w:pPr>
        <w:spacing w:after="0"/>
        <w:jc w:val="center"/>
      </w:pPr>
      <w:r>
        <w:rPr>
          <w:noProof/>
        </w:rPr>
        <w:drawing>
          <wp:inline distT="0" distB="0" distL="0" distR="0">
            <wp:extent cx="3001010" cy="260217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 of Canada.png"/>
                    <pic:cNvPicPr/>
                  </pic:nvPicPr>
                  <pic:blipFill>
                    <a:blip r:embed="rId6">
                      <a:extLst>
                        <a:ext uri="{28A0092B-C50C-407E-A947-70E740481C1C}">
                          <a14:useLocalDpi xmlns:a14="http://schemas.microsoft.com/office/drawing/2010/main" val="0"/>
                        </a:ext>
                      </a:extLst>
                    </a:blip>
                    <a:stretch>
                      <a:fillRect/>
                    </a:stretch>
                  </pic:blipFill>
                  <pic:spPr>
                    <a:xfrm>
                      <a:off x="0" y="0"/>
                      <a:ext cx="3007770" cy="2608034"/>
                    </a:xfrm>
                    <a:prstGeom prst="rect">
                      <a:avLst/>
                    </a:prstGeom>
                  </pic:spPr>
                </pic:pic>
              </a:graphicData>
            </a:graphic>
          </wp:inline>
        </w:drawing>
      </w:r>
    </w:p>
    <w:p w:rsidR="00C9750B" w:rsidRDefault="00C9750B" w:rsidP="00C9750B">
      <w:pPr>
        <w:spacing w:after="0"/>
      </w:pPr>
    </w:p>
    <w:p w:rsidR="00CC189C" w:rsidRPr="00E71376" w:rsidRDefault="00CC189C" w:rsidP="00C9750B">
      <w:pPr>
        <w:spacing w:after="0" w:line="240" w:lineRule="auto"/>
        <w:rPr>
          <w:rFonts w:eastAsia="Times New Roman" w:cs="Times New Roman"/>
          <w:b/>
        </w:rPr>
      </w:pPr>
      <w:hyperlink r:id="rId7" w:history="1">
        <w:r w:rsidRPr="00C9750B">
          <w:rPr>
            <w:rFonts w:eastAsia="Times New Roman" w:cs="Helvetica"/>
            <w:b/>
            <w:bdr w:val="none" w:sz="0" w:space="0" w:color="auto" w:frame="1"/>
            <w:shd w:val="clear" w:color="auto" w:fill="FFFFFF"/>
          </w:rPr>
          <w:t>Administration</w:t>
        </w:r>
      </w:hyperlink>
    </w:p>
    <w:p w:rsidR="00CC189C" w:rsidRDefault="00CC189C" w:rsidP="00C9750B">
      <w:pPr>
        <w:shd w:val="clear" w:color="auto" w:fill="FFFFFF"/>
        <w:spacing w:after="0" w:line="366" w:lineRule="atLeast"/>
        <w:textAlignment w:val="baseline"/>
        <w:rPr>
          <w:rFonts w:eastAsia="Times New Roman" w:cs="Helvetica"/>
        </w:rPr>
      </w:pPr>
      <w:r w:rsidRPr="00E71376">
        <w:rPr>
          <w:rFonts w:eastAsia="Times New Roman" w:cs="Helvetica"/>
        </w:rPr>
        <w:t>As in the U</w:t>
      </w:r>
      <w:r w:rsidR="00C9750B">
        <w:rPr>
          <w:rFonts w:eastAsia="Times New Roman" w:cs="Helvetica"/>
        </w:rPr>
        <w:t xml:space="preserve">nited </w:t>
      </w:r>
      <w:r w:rsidRPr="00E71376">
        <w:rPr>
          <w:rFonts w:eastAsia="Times New Roman" w:cs="Helvetica"/>
        </w:rPr>
        <w:t>S</w:t>
      </w:r>
      <w:r w:rsidR="00C9750B">
        <w:rPr>
          <w:rFonts w:eastAsia="Times New Roman" w:cs="Helvetica"/>
        </w:rPr>
        <w:t>tates</w:t>
      </w:r>
      <w:r w:rsidRPr="00E71376">
        <w:rPr>
          <w:rFonts w:eastAsia="Times New Roman" w:cs="Helvetica"/>
        </w:rPr>
        <w:t xml:space="preserve">, education </w:t>
      </w:r>
      <w:r w:rsidR="006536C4">
        <w:rPr>
          <w:rFonts w:eastAsia="Times New Roman" w:cs="Helvetica"/>
        </w:rPr>
        <w:t xml:space="preserve">in Canada </w:t>
      </w:r>
      <w:bookmarkStart w:id="0" w:name="_GoBack"/>
      <w:bookmarkEnd w:id="0"/>
      <w:r w:rsidRPr="00E71376">
        <w:rPr>
          <w:rFonts w:eastAsia="Times New Roman" w:cs="Helvetica"/>
        </w:rPr>
        <w:t>is considered a local responsibility. Provinces have primary oversight over their education systems. 5.4 percent of Canada’s GDP is spent on education, with a heavy emphasis on tertiary education.</w:t>
      </w:r>
    </w:p>
    <w:p w:rsidR="00C9750B" w:rsidRPr="00E71376" w:rsidRDefault="00C9750B" w:rsidP="00C9750B">
      <w:pPr>
        <w:shd w:val="clear" w:color="auto" w:fill="FFFFFF"/>
        <w:spacing w:after="0" w:line="366" w:lineRule="atLeast"/>
        <w:textAlignment w:val="baseline"/>
        <w:rPr>
          <w:rFonts w:eastAsia="Times New Roman" w:cs="Helvetica"/>
        </w:rPr>
      </w:pPr>
    </w:p>
    <w:p w:rsidR="00C9750B" w:rsidRPr="00E71376" w:rsidRDefault="00C9750B" w:rsidP="00C9750B">
      <w:pPr>
        <w:spacing w:after="0" w:line="240" w:lineRule="auto"/>
        <w:rPr>
          <w:rFonts w:eastAsia="Times New Roman" w:cs="Times New Roman"/>
          <w:b/>
        </w:rPr>
      </w:pPr>
      <w:hyperlink r:id="rId8" w:history="1">
        <w:r w:rsidRPr="00C9750B">
          <w:rPr>
            <w:rFonts w:eastAsia="Times New Roman" w:cs="Helvetica"/>
            <w:b/>
            <w:bdr w:val="none" w:sz="0" w:space="0" w:color="auto" w:frame="1"/>
            <w:shd w:val="clear" w:color="auto" w:fill="FFFFFF"/>
          </w:rPr>
          <w:t>School</w:t>
        </w:r>
        <w:r w:rsidRPr="00C9750B">
          <w:rPr>
            <w:rFonts w:eastAsia="Times New Roman" w:cs="Helvetica"/>
            <w:b/>
            <w:bCs/>
            <w:bdr w:val="none" w:sz="0" w:space="0" w:color="auto" w:frame="1"/>
            <w:shd w:val="clear" w:color="auto" w:fill="FFFFFF"/>
          </w:rPr>
          <w:t> Year</w:t>
        </w:r>
      </w:hyperlink>
    </w:p>
    <w:p w:rsidR="00C9750B" w:rsidRDefault="00C9750B" w:rsidP="00C9750B">
      <w:pPr>
        <w:shd w:val="clear" w:color="auto" w:fill="FFFFFF"/>
        <w:spacing w:after="0" w:line="366" w:lineRule="atLeast"/>
        <w:textAlignment w:val="baseline"/>
        <w:rPr>
          <w:rFonts w:eastAsia="Times New Roman" w:cs="Helvetica"/>
        </w:rPr>
      </w:pPr>
      <w:r w:rsidRPr="00E71376">
        <w:rPr>
          <w:rFonts w:eastAsia="Times New Roman" w:cs="Helvetica"/>
        </w:rPr>
        <w:t xml:space="preserve">The school year in Canada lasts from early September, around </w:t>
      </w:r>
      <w:proofErr w:type="spellStart"/>
      <w:r w:rsidRPr="00E71376">
        <w:rPr>
          <w:rFonts w:eastAsia="Times New Roman" w:cs="Helvetica"/>
        </w:rPr>
        <w:t>Labo</w:t>
      </w:r>
      <w:r>
        <w:rPr>
          <w:rFonts w:eastAsia="Times New Roman" w:cs="Helvetica"/>
        </w:rPr>
        <w:t>u</w:t>
      </w:r>
      <w:r w:rsidRPr="00E71376">
        <w:rPr>
          <w:rFonts w:eastAsia="Times New Roman" w:cs="Helvetica"/>
        </w:rPr>
        <w:t>r</w:t>
      </w:r>
      <w:proofErr w:type="spellEnd"/>
      <w:r w:rsidRPr="00E71376">
        <w:rPr>
          <w:rFonts w:eastAsia="Times New Roman" w:cs="Helvetica"/>
        </w:rPr>
        <w:t xml:space="preserve"> Day, to the end of June. Canadian students have 190 days of school each year, except for those in Quebec, who have 180.</w:t>
      </w:r>
    </w:p>
    <w:p w:rsidR="00C9750B" w:rsidRPr="00E71376" w:rsidRDefault="00C9750B" w:rsidP="00C9750B">
      <w:pPr>
        <w:shd w:val="clear" w:color="auto" w:fill="FFFFFF"/>
        <w:spacing w:after="0" w:line="366" w:lineRule="atLeast"/>
        <w:textAlignment w:val="baseline"/>
        <w:rPr>
          <w:rFonts w:eastAsia="Times New Roman" w:cs="Helvetica"/>
        </w:rPr>
      </w:pPr>
    </w:p>
    <w:p w:rsidR="00C9750B" w:rsidRPr="00E71376" w:rsidRDefault="00C9750B" w:rsidP="00C9750B">
      <w:pPr>
        <w:spacing w:after="0" w:line="240" w:lineRule="auto"/>
        <w:rPr>
          <w:rFonts w:eastAsia="Times New Roman" w:cs="Times New Roman"/>
          <w:b/>
        </w:rPr>
      </w:pPr>
      <w:hyperlink r:id="rId9" w:history="1">
        <w:r w:rsidRPr="00C9750B">
          <w:rPr>
            <w:rFonts w:eastAsia="Times New Roman" w:cs="Helvetica"/>
            <w:b/>
            <w:bdr w:val="none" w:sz="0" w:space="0" w:color="auto" w:frame="1"/>
            <w:shd w:val="clear" w:color="auto" w:fill="FFFFFF"/>
          </w:rPr>
          <w:t>Compulsory</w:t>
        </w:r>
        <w:r w:rsidRPr="00C9750B">
          <w:rPr>
            <w:rFonts w:eastAsia="Times New Roman" w:cs="Helvetica"/>
            <w:b/>
            <w:bCs/>
            <w:bdr w:val="none" w:sz="0" w:space="0" w:color="auto" w:frame="1"/>
            <w:shd w:val="clear" w:color="auto" w:fill="FFFFFF"/>
          </w:rPr>
          <w:t> Education</w:t>
        </w:r>
      </w:hyperlink>
    </w:p>
    <w:p w:rsidR="00C9750B" w:rsidRPr="00E71376" w:rsidRDefault="00C9750B" w:rsidP="00C9750B">
      <w:pPr>
        <w:shd w:val="clear" w:color="auto" w:fill="FFFFFF"/>
        <w:spacing w:after="0" w:line="366" w:lineRule="atLeast"/>
        <w:textAlignment w:val="baseline"/>
        <w:rPr>
          <w:rFonts w:eastAsia="Times New Roman" w:cs="Helvetica"/>
        </w:rPr>
      </w:pPr>
      <w:r w:rsidRPr="00E71376">
        <w:rPr>
          <w:rFonts w:eastAsia="Times New Roman" w:cs="Helvetica"/>
        </w:rPr>
        <w:t>Education is compulsory until age 16 in all provinces except Manitoba, Ontario, and New Brunswick, where schooling is compulsory until age 18 or until a student has received his or her high school diploma.</w:t>
      </w:r>
      <w:r>
        <w:rPr>
          <w:rFonts w:eastAsia="Times New Roman" w:cs="Helvetica"/>
        </w:rPr>
        <w:t xml:space="preserve"> </w:t>
      </w:r>
      <w:r w:rsidRPr="00E71376">
        <w:rPr>
          <w:rFonts w:eastAsia="Times New Roman" w:cs="Helvetica"/>
        </w:rPr>
        <w:t>Students typically begin school at the age of five (kindergarten) or six (grade one).</w:t>
      </w:r>
    </w:p>
    <w:p w:rsidR="00C9750B" w:rsidRDefault="00C9750B" w:rsidP="00C9750B">
      <w:pPr>
        <w:spacing w:after="0" w:line="240" w:lineRule="auto"/>
        <w:rPr>
          <w:rFonts w:eastAsia="Times New Roman" w:cs="Times New Roman"/>
        </w:rPr>
      </w:pPr>
    </w:p>
    <w:p w:rsidR="00C9750B" w:rsidRPr="00E71376" w:rsidRDefault="00C9750B" w:rsidP="00C9750B">
      <w:pPr>
        <w:spacing w:after="0" w:line="240" w:lineRule="auto"/>
        <w:rPr>
          <w:rFonts w:eastAsia="Times New Roman" w:cs="Times New Roman"/>
          <w:b/>
        </w:rPr>
      </w:pPr>
      <w:hyperlink r:id="rId10" w:history="1">
        <w:r w:rsidRPr="00C9750B">
          <w:rPr>
            <w:rFonts w:eastAsia="Times New Roman" w:cs="Helvetica"/>
            <w:b/>
            <w:bdr w:val="none" w:sz="0" w:space="0" w:color="auto" w:frame="1"/>
            <w:shd w:val="clear" w:color="auto" w:fill="FFFFFF"/>
          </w:rPr>
          <w:t>Language</w:t>
        </w:r>
      </w:hyperlink>
      <w:r w:rsidR="006C2CFE">
        <w:rPr>
          <w:rFonts w:eastAsia="Times New Roman" w:cs="Times New Roman"/>
          <w:b/>
        </w:rPr>
        <w:t xml:space="preserve"> and R</w:t>
      </w:r>
      <w:r>
        <w:rPr>
          <w:rFonts w:eastAsia="Times New Roman" w:cs="Times New Roman"/>
          <w:b/>
        </w:rPr>
        <w:t>eligion</w:t>
      </w:r>
    </w:p>
    <w:p w:rsidR="006C2CFE" w:rsidRPr="00DB5A17" w:rsidRDefault="00C9750B" w:rsidP="00DB5A17">
      <w:pPr>
        <w:shd w:val="clear" w:color="auto" w:fill="FFFFFF"/>
        <w:spacing w:after="0" w:line="366" w:lineRule="atLeast"/>
        <w:textAlignment w:val="baseline"/>
        <w:rPr>
          <w:rFonts w:eastAsia="Times New Roman" w:cs="Helvetica"/>
        </w:rPr>
      </w:pPr>
      <w:r>
        <w:rPr>
          <w:rFonts w:eastAsia="Times New Roman" w:cs="Helvetica"/>
        </w:rPr>
        <w:t>Being able to learn in your own language and religion at a public school is considered a right in Canada. You will find some major cities have has many as four school boards – English secular, English Catholic, French secular, and French Catholic. French and English schools can be found in every province, with the most French schools located in Quebec. Additionally, i</w:t>
      </w:r>
      <w:r w:rsidRPr="00E71376">
        <w:rPr>
          <w:rFonts w:eastAsia="Times New Roman" w:cs="Helvetica"/>
        </w:rPr>
        <w:t xml:space="preserve">mmersion programs and bilingual schools are widespread throughout Canada. </w:t>
      </w:r>
      <w:r>
        <w:rPr>
          <w:rFonts w:eastAsia="Times New Roman" w:cs="Helvetica"/>
        </w:rPr>
        <w:t>Bilingual schools are most often English/French, but in Western Canada especially other bilingual programs, like English/Chinese, have emerged.</w:t>
      </w:r>
    </w:p>
    <w:p w:rsidR="006C2CFE" w:rsidRDefault="006C2CFE" w:rsidP="006C2CFE">
      <w:pPr>
        <w:spacing w:after="0" w:line="240" w:lineRule="auto"/>
        <w:rPr>
          <w:rFonts w:eastAsia="Times New Roman" w:cs="Times New Roman"/>
        </w:rPr>
      </w:pPr>
    </w:p>
    <w:p w:rsidR="006C2CFE" w:rsidRPr="00E71376" w:rsidRDefault="006C2CFE" w:rsidP="006C2CFE">
      <w:pPr>
        <w:spacing w:after="0" w:line="240" w:lineRule="auto"/>
        <w:rPr>
          <w:rFonts w:eastAsia="Times New Roman" w:cs="Times New Roman"/>
          <w:b/>
        </w:rPr>
      </w:pPr>
      <w:hyperlink r:id="rId11" w:history="1">
        <w:r w:rsidRPr="006C2CFE">
          <w:rPr>
            <w:rFonts w:eastAsia="Times New Roman" w:cs="Helvetica"/>
            <w:b/>
            <w:bdr w:val="none" w:sz="0" w:space="0" w:color="auto" w:frame="1"/>
            <w:shd w:val="clear" w:color="auto" w:fill="FFFFFF"/>
          </w:rPr>
          <w:t>Grade</w:t>
        </w:r>
        <w:r w:rsidRPr="006C2CFE">
          <w:rPr>
            <w:rFonts w:eastAsia="Times New Roman" w:cs="Helvetica"/>
            <w:b/>
            <w:bCs/>
            <w:bdr w:val="none" w:sz="0" w:space="0" w:color="auto" w:frame="1"/>
            <w:shd w:val="clear" w:color="auto" w:fill="FFFFFF"/>
          </w:rPr>
          <w:t> </w:t>
        </w:r>
        <w:r>
          <w:rPr>
            <w:rFonts w:eastAsia="Times New Roman" w:cs="Helvetica"/>
            <w:b/>
            <w:bCs/>
            <w:bdr w:val="none" w:sz="0" w:space="0" w:color="auto" w:frame="1"/>
            <w:shd w:val="clear" w:color="auto" w:fill="FFFFFF"/>
          </w:rPr>
          <w:t>L</w:t>
        </w:r>
        <w:r w:rsidRPr="006C2CFE">
          <w:rPr>
            <w:rFonts w:eastAsia="Times New Roman" w:cs="Helvetica"/>
            <w:b/>
            <w:bCs/>
            <w:bdr w:val="none" w:sz="0" w:space="0" w:color="auto" w:frame="1"/>
            <w:shd w:val="clear" w:color="auto" w:fill="FFFFFF"/>
          </w:rPr>
          <w:t>evels</w:t>
        </w:r>
      </w:hyperlink>
    </w:p>
    <w:p w:rsidR="006C2CFE" w:rsidRPr="00E71376" w:rsidRDefault="006C2CFE" w:rsidP="006C2CFE">
      <w:pPr>
        <w:shd w:val="clear" w:color="auto" w:fill="FFFFFF"/>
        <w:spacing w:after="0" w:line="366" w:lineRule="atLeast"/>
        <w:textAlignment w:val="baseline"/>
        <w:rPr>
          <w:rFonts w:eastAsia="Times New Roman" w:cs="Helvetica"/>
        </w:rPr>
      </w:pPr>
      <w:r w:rsidRPr="00E71376">
        <w:rPr>
          <w:rFonts w:eastAsia="Times New Roman" w:cs="Helvetica"/>
        </w:rPr>
        <w:t xml:space="preserve">The grade levels for </w:t>
      </w:r>
      <w:r>
        <w:rPr>
          <w:rFonts w:eastAsia="Times New Roman" w:cs="Helvetica"/>
        </w:rPr>
        <w:t xml:space="preserve">all </w:t>
      </w:r>
      <w:r w:rsidRPr="00E71376">
        <w:rPr>
          <w:rFonts w:eastAsia="Times New Roman" w:cs="Helvetica"/>
        </w:rPr>
        <w:t xml:space="preserve">provinces other than Quebec are </w:t>
      </w:r>
      <w:r>
        <w:rPr>
          <w:rFonts w:eastAsia="Times New Roman" w:cs="Helvetica"/>
        </w:rPr>
        <w:t>similar</w:t>
      </w:r>
      <w:r w:rsidRPr="00E71376">
        <w:rPr>
          <w:rFonts w:eastAsia="Times New Roman" w:cs="Helvetica"/>
        </w:rPr>
        <w:t xml:space="preserve">. </w:t>
      </w:r>
    </w:p>
    <w:p w:rsidR="006C2CFE" w:rsidRDefault="006C2CFE" w:rsidP="006C2CFE">
      <w:pPr>
        <w:shd w:val="clear" w:color="auto" w:fill="FFFFFF"/>
        <w:spacing w:after="0" w:line="366" w:lineRule="atLeast"/>
        <w:textAlignment w:val="baseline"/>
        <w:rPr>
          <w:rFonts w:eastAsia="Times New Roman" w:cs="Helvetica"/>
          <w:b/>
          <w:bCs/>
          <w:i/>
          <w:iCs/>
          <w:bdr w:val="none" w:sz="0" w:space="0" w:color="auto" w:frame="1"/>
        </w:rPr>
        <w:sectPr w:rsidR="006C2CFE">
          <w:headerReference w:type="default" r:id="rId12"/>
          <w:pgSz w:w="12240" w:h="15840"/>
          <w:pgMar w:top="1440" w:right="1440" w:bottom="1440" w:left="1440" w:header="720" w:footer="720" w:gutter="0"/>
          <w:cols w:space="720"/>
          <w:docGrid w:linePitch="360"/>
        </w:sectPr>
      </w:pPr>
    </w:p>
    <w:p w:rsidR="006C2CFE" w:rsidRPr="00E71376" w:rsidRDefault="006C2CFE" w:rsidP="006C2CFE">
      <w:pPr>
        <w:shd w:val="clear" w:color="auto" w:fill="FFFFFF"/>
        <w:spacing w:after="0" w:line="366" w:lineRule="atLeast"/>
        <w:textAlignment w:val="baseline"/>
        <w:rPr>
          <w:rFonts w:eastAsia="Times New Roman" w:cs="Helvetica"/>
        </w:rPr>
      </w:pPr>
      <w:r w:rsidRPr="00CC189C">
        <w:rPr>
          <w:rFonts w:eastAsia="Times New Roman" w:cs="Helvetica"/>
          <w:b/>
          <w:bCs/>
          <w:i/>
          <w:iCs/>
          <w:bdr w:val="none" w:sz="0" w:space="0" w:color="auto" w:frame="1"/>
        </w:rPr>
        <w:t>Early Childhood</w:t>
      </w:r>
      <w:r w:rsidRPr="00E71376">
        <w:rPr>
          <w:rFonts w:eastAsia="Times New Roman" w:cs="Helvetica"/>
        </w:rPr>
        <w:br/>
        <w:t>Pre-Kindergarten (ages 3-5)—unique to Ontario</w:t>
      </w:r>
      <w:r w:rsidRPr="00E71376">
        <w:rPr>
          <w:rFonts w:eastAsia="Times New Roman" w:cs="Helvetica"/>
        </w:rPr>
        <w:br/>
      </w:r>
      <w:r w:rsidRPr="00CC189C">
        <w:rPr>
          <w:rFonts w:eastAsia="Times New Roman" w:cs="Helvetica"/>
          <w:b/>
          <w:bCs/>
          <w:i/>
          <w:iCs/>
          <w:bdr w:val="none" w:sz="0" w:space="0" w:color="auto" w:frame="1"/>
        </w:rPr>
        <w:t>Elementary</w:t>
      </w:r>
      <w:r w:rsidRPr="00E71376">
        <w:rPr>
          <w:rFonts w:eastAsia="Times New Roman" w:cs="Helvetica"/>
        </w:rPr>
        <w:br/>
        <w:t>Grade 1 (6-7)</w:t>
      </w:r>
      <w:r w:rsidRPr="00E71376">
        <w:rPr>
          <w:rFonts w:eastAsia="Times New Roman" w:cs="Helvetica"/>
        </w:rPr>
        <w:br/>
        <w:t>Grade 2 (7-8)</w:t>
      </w:r>
      <w:r w:rsidRPr="00E71376">
        <w:rPr>
          <w:rFonts w:eastAsia="Times New Roman" w:cs="Helvetica"/>
        </w:rPr>
        <w:br/>
        <w:t>Grade 3 (8-9)</w:t>
      </w:r>
      <w:r w:rsidRPr="00E71376">
        <w:rPr>
          <w:rFonts w:eastAsia="Times New Roman" w:cs="Helvetica"/>
        </w:rPr>
        <w:br/>
        <w:t>Grade 4 (9-10)</w:t>
      </w:r>
      <w:r w:rsidRPr="00E71376">
        <w:rPr>
          <w:rFonts w:eastAsia="Times New Roman" w:cs="Helvetica"/>
        </w:rPr>
        <w:br/>
        <w:t>Grade 5 (10-11)</w:t>
      </w:r>
      <w:r w:rsidRPr="00E71376">
        <w:rPr>
          <w:rFonts w:eastAsia="Times New Roman" w:cs="Helvetica"/>
        </w:rPr>
        <w:br/>
        <w:t>Grade 6 (11-12)</w:t>
      </w:r>
      <w:r w:rsidRPr="00E71376">
        <w:rPr>
          <w:rFonts w:eastAsia="Times New Roman" w:cs="Helvetica"/>
        </w:rPr>
        <w:br/>
      </w:r>
      <w:r w:rsidRPr="00CC189C">
        <w:rPr>
          <w:rFonts w:eastAsia="Times New Roman" w:cs="Helvetica"/>
          <w:b/>
          <w:bCs/>
          <w:i/>
          <w:iCs/>
          <w:bdr w:val="none" w:sz="0" w:space="0" w:color="auto" w:frame="1"/>
        </w:rPr>
        <w:t>Junior High/Middle School</w:t>
      </w:r>
      <w:r w:rsidRPr="00E71376">
        <w:rPr>
          <w:rFonts w:eastAsia="Times New Roman" w:cs="Helvetica"/>
        </w:rPr>
        <w:br/>
        <w:t>Grade 7 (12-13)</w:t>
      </w:r>
      <w:r w:rsidRPr="00E71376">
        <w:rPr>
          <w:rFonts w:eastAsia="Times New Roman" w:cs="Helvetica"/>
        </w:rPr>
        <w:br/>
        <w:t>Grade 8 (13-14)</w:t>
      </w:r>
      <w:r w:rsidRPr="00E71376">
        <w:rPr>
          <w:rFonts w:eastAsia="Times New Roman" w:cs="Helvetica"/>
        </w:rPr>
        <w:br/>
        <w:t>Grade 9 (14-15)</w:t>
      </w:r>
      <w:r w:rsidRPr="00E71376">
        <w:rPr>
          <w:rFonts w:eastAsia="Times New Roman" w:cs="Helvetica"/>
        </w:rPr>
        <w:br/>
      </w:r>
      <w:r w:rsidRPr="00CC189C">
        <w:rPr>
          <w:rFonts w:eastAsia="Times New Roman" w:cs="Helvetica"/>
          <w:b/>
          <w:bCs/>
          <w:i/>
          <w:iCs/>
          <w:bdr w:val="none" w:sz="0" w:space="0" w:color="auto" w:frame="1"/>
        </w:rPr>
        <w:t>High School</w:t>
      </w:r>
      <w:r w:rsidRPr="00E71376">
        <w:rPr>
          <w:rFonts w:eastAsia="Times New Roman" w:cs="Helvetica"/>
        </w:rPr>
        <w:br/>
        <w:t>Grade 10 (15-16)</w:t>
      </w:r>
      <w:r w:rsidRPr="00E71376">
        <w:rPr>
          <w:rFonts w:eastAsia="Times New Roman" w:cs="Helvetica"/>
        </w:rPr>
        <w:br/>
        <w:t>Grade 11 (16-17)</w:t>
      </w:r>
      <w:r w:rsidRPr="00E71376">
        <w:rPr>
          <w:rFonts w:eastAsia="Times New Roman" w:cs="Helvetica"/>
        </w:rPr>
        <w:br/>
        <w:t>Grade 12 (17-18)</w:t>
      </w:r>
    </w:p>
    <w:p w:rsidR="006C2CFE" w:rsidRPr="00E71376" w:rsidRDefault="006C2CFE" w:rsidP="006C2CFE">
      <w:pPr>
        <w:shd w:val="clear" w:color="auto" w:fill="FFFFFF"/>
        <w:spacing w:after="0" w:line="366" w:lineRule="atLeast"/>
        <w:textAlignment w:val="baseline"/>
        <w:rPr>
          <w:rFonts w:eastAsia="Times New Roman" w:cs="Helvetica"/>
        </w:rPr>
      </w:pPr>
      <w:r w:rsidRPr="00E71376">
        <w:rPr>
          <w:rFonts w:eastAsia="Times New Roman" w:cs="Helvetica"/>
        </w:rPr>
        <w:t>Groupings of grade levels by school may vary by province. Some will have middle schools that comprise grades 6-8, whereas others follow the junior/senior high system.</w:t>
      </w:r>
    </w:p>
    <w:p w:rsidR="006C2CFE" w:rsidRPr="00E71376" w:rsidRDefault="006C2CFE" w:rsidP="006C2CFE">
      <w:pPr>
        <w:shd w:val="clear" w:color="auto" w:fill="FFFFFF"/>
        <w:spacing w:after="0" w:line="366" w:lineRule="atLeast"/>
        <w:textAlignment w:val="baseline"/>
        <w:rPr>
          <w:rFonts w:eastAsia="Times New Roman" w:cs="Helvetica"/>
        </w:rPr>
      </w:pPr>
      <w:r>
        <w:rPr>
          <w:rFonts w:eastAsia="Times New Roman" w:cs="Helvetica"/>
        </w:rPr>
        <w:br w:type="column"/>
      </w:r>
      <w:r w:rsidRPr="006C2CFE">
        <w:rPr>
          <w:rFonts w:eastAsia="Times New Roman" w:cs="Helvetica"/>
          <w:b/>
        </w:rPr>
        <w:t>Quebec</w:t>
      </w:r>
      <w:r w:rsidRPr="00E71376">
        <w:rPr>
          <w:rFonts w:eastAsia="Times New Roman" w:cs="Helvetica"/>
          <w:b/>
        </w:rPr>
        <w:t>:</w:t>
      </w:r>
    </w:p>
    <w:p w:rsidR="006C2CFE" w:rsidRPr="00E71376" w:rsidRDefault="006C2CFE" w:rsidP="006C2CFE">
      <w:pPr>
        <w:shd w:val="clear" w:color="auto" w:fill="FFFFFF"/>
        <w:spacing w:after="0" w:line="366" w:lineRule="atLeast"/>
        <w:textAlignment w:val="baseline"/>
        <w:rPr>
          <w:rFonts w:eastAsia="Times New Roman" w:cs="Helvetica"/>
        </w:rPr>
      </w:pPr>
      <w:r w:rsidRPr="00CC189C">
        <w:rPr>
          <w:rFonts w:eastAsia="Times New Roman" w:cs="Helvetica"/>
          <w:b/>
          <w:bCs/>
          <w:i/>
          <w:iCs/>
          <w:bdr w:val="none" w:sz="0" w:space="0" w:color="auto" w:frame="1"/>
        </w:rPr>
        <w:t>Pre-school/</w:t>
      </w:r>
      <w:proofErr w:type="spellStart"/>
      <w:r w:rsidRPr="00CC189C">
        <w:rPr>
          <w:rFonts w:eastAsia="Times New Roman" w:cs="Helvetica"/>
          <w:b/>
          <w:bCs/>
          <w:i/>
          <w:iCs/>
          <w:bdr w:val="none" w:sz="0" w:space="0" w:color="auto" w:frame="1"/>
        </w:rPr>
        <w:t>préscolaire</w:t>
      </w:r>
      <w:proofErr w:type="spellEnd"/>
      <w:r w:rsidRPr="00CC189C">
        <w:rPr>
          <w:rFonts w:eastAsia="Times New Roman" w:cs="Helvetica"/>
        </w:rPr>
        <w:t> </w:t>
      </w:r>
      <w:r w:rsidRPr="00E71376">
        <w:rPr>
          <w:rFonts w:eastAsia="Times New Roman" w:cs="Helvetica"/>
        </w:rPr>
        <w:t>(under age 5)</w:t>
      </w:r>
      <w:r w:rsidRPr="00E71376">
        <w:rPr>
          <w:rFonts w:eastAsia="Times New Roman" w:cs="Helvetica"/>
        </w:rPr>
        <w:br/>
      </w:r>
      <w:r w:rsidRPr="00CC189C">
        <w:rPr>
          <w:rFonts w:eastAsia="Times New Roman" w:cs="Helvetica"/>
          <w:b/>
          <w:bCs/>
          <w:i/>
          <w:iCs/>
          <w:bdr w:val="none" w:sz="0" w:space="0" w:color="auto" w:frame="1"/>
        </w:rPr>
        <w:t>Kindergarten/</w:t>
      </w:r>
      <w:proofErr w:type="spellStart"/>
      <w:r w:rsidRPr="00CC189C">
        <w:rPr>
          <w:rFonts w:eastAsia="Times New Roman" w:cs="Helvetica"/>
          <w:b/>
          <w:bCs/>
          <w:i/>
          <w:iCs/>
          <w:bdr w:val="none" w:sz="0" w:space="0" w:color="auto" w:frame="1"/>
        </w:rPr>
        <w:t>maternelle</w:t>
      </w:r>
      <w:proofErr w:type="spellEnd"/>
      <w:r w:rsidRPr="00CC189C">
        <w:rPr>
          <w:rFonts w:eastAsia="Times New Roman" w:cs="Helvetica"/>
        </w:rPr>
        <w:t> </w:t>
      </w:r>
      <w:r w:rsidRPr="00E71376">
        <w:rPr>
          <w:rFonts w:eastAsia="Times New Roman" w:cs="Helvetica"/>
        </w:rPr>
        <w:t>(5-6)</w:t>
      </w:r>
      <w:r w:rsidRPr="00E71376">
        <w:rPr>
          <w:rFonts w:eastAsia="Times New Roman" w:cs="Helvetica"/>
        </w:rPr>
        <w:br/>
      </w:r>
      <w:r w:rsidRPr="00CC189C">
        <w:rPr>
          <w:rFonts w:eastAsia="Times New Roman" w:cs="Helvetica"/>
          <w:b/>
          <w:bCs/>
          <w:i/>
          <w:iCs/>
          <w:bdr w:val="none" w:sz="0" w:space="0" w:color="auto" w:frame="1"/>
        </w:rPr>
        <w:t>Grade school/</w:t>
      </w:r>
      <w:proofErr w:type="spellStart"/>
      <w:r w:rsidRPr="00CC189C">
        <w:rPr>
          <w:rFonts w:eastAsia="Times New Roman" w:cs="Helvetica"/>
          <w:b/>
          <w:bCs/>
          <w:i/>
          <w:iCs/>
          <w:bdr w:val="none" w:sz="0" w:space="0" w:color="auto" w:frame="1"/>
        </w:rPr>
        <w:t>école</w:t>
      </w:r>
      <w:proofErr w:type="spellEnd"/>
      <w:r w:rsidRPr="00CC189C">
        <w:rPr>
          <w:rFonts w:eastAsia="Times New Roman" w:cs="Helvetica"/>
          <w:b/>
          <w:bCs/>
          <w:i/>
          <w:iCs/>
          <w:bdr w:val="none" w:sz="0" w:space="0" w:color="auto" w:frame="1"/>
        </w:rPr>
        <w:t xml:space="preserve"> </w:t>
      </w:r>
      <w:proofErr w:type="spellStart"/>
      <w:r w:rsidRPr="00CC189C">
        <w:rPr>
          <w:rFonts w:eastAsia="Times New Roman" w:cs="Helvetica"/>
          <w:b/>
          <w:bCs/>
          <w:i/>
          <w:iCs/>
          <w:bdr w:val="none" w:sz="0" w:space="0" w:color="auto" w:frame="1"/>
        </w:rPr>
        <w:t>primaire</w:t>
      </w:r>
      <w:proofErr w:type="spellEnd"/>
      <w:r w:rsidRPr="00E71376">
        <w:rPr>
          <w:rFonts w:eastAsia="Times New Roman" w:cs="Helvetica"/>
        </w:rPr>
        <w:br/>
        <w:t>Grade 1 (6-7)</w:t>
      </w:r>
      <w:r w:rsidRPr="00E71376">
        <w:rPr>
          <w:rFonts w:eastAsia="Times New Roman" w:cs="Helvetica"/>
        </w:rPr>
        <w:br/>
        <w:t>Grade 2 (7-8)</w:t>
      </w:r>
      <w:r w:rsidRPr="00E71376">
        <w:rPr>
          <w:rFonts w:eastAsia="Times New Roman" w:cs="Helvetica"/>
        </w:rPr>
        <w:br/>
        <w:t>Grade 3 (8-9)</w:t>
      </w:r>
      <w:r w:rsidRPr="00E71376">
        <w:rPr>
          <w:rFonts w:eastAsia="Times New Roman" w:cs="Helvetica"/>
        </w:rPr>
        <w:br/>
        <w:t>Grade 4 (9-10)</w:t>
      </w:r>
      <w:r w:rsidRPr="00E71376">
        <w:rPr>
          <w:rFonts w:eastAsia="Times New Roman" w:cs="Helvetica"/>
        </w:rPr>
        <w:br/>
        <w:t>Grade 5 (10-11)</w:t>
      </w:r>
      <w:r w:rsidRPr="00E71376">
        <w:rPr>
          <w:rFonts w:eastAsia="Times New Roman" w:cs="Helvetica"/>
        </w:rPr>
        <w:br/>
        <w:t>Grade 6 (11-12)</w:t>
      </w:r>
      <w:r w:rsidRPr="00E71376">
        <w:rPr>
          <w:rFonts w:eastAsia="Times New Roman" w:cs="Helvetica"/>
        </w:rPr>
        <w:br/>
      </w:r>
      <w:r w:rsidRPr="00CC189C">
        <w:rPr>
          <w:rFonts w:eastAsia="Times New Roman" w:cs="Helvetica"/>
          <w:b/>
          <w:bCs/>
          <w:i/>
          <w:iCs/>
          <w:bdr w:val="none" w:sz="0" w:space="0" w:color="auto" w:frame="1"/>
        </w:rPr>
        <w:t>High school/</w:t>
      </w:r>
      <w:proofErr w:type="spellStart"/>
      <w:r w:rsidRPr="00CC189C">
        <w:rPr>
          <w:rFonts w:eastAsia="Times New Roman" w:cs="Helvetica"/>
          <w:b/>
          <w:bCs/>
          <w:i/>
          <w:iCs/>
          <w:bdr w:val="none" w:sz="0" w:space="0" w:color="auto" w:frame="1"/>
        </w:rPr>
        <w:t>école</w:t>
      </w:r>
      <w:proofErr w:type="spellEnd"/>
      <w:r w:rsidRPr="00CC189C">
        <w:rPr>
          <w:rFonts w:eastAsia="Times New Roman" w:cs="Helvetica"/>
          <w:b/>
          <w:bCs/>
          <w:i/>
          <w:iCs/>
          <w:bdr w:val="none" w:sz="0" w:space="0" w:color="auto" w:frame="1"/>
        </w:rPr>
        <w:t xml:space="preserve"> </w:t>
      </w:r>
      <w:proofErr w:type="spellStart"/>
      <w:r w:rsidRPr="00CC189C">
        <w:rPr>
          <w:rFonts w:eastAsia="Times New Roman" w:cs="Helvetica"/>
          <w:b/>
          <w:bCs/>
          <w:i/>
          <w:iCs/>
          <w:bdr w:val="none" w:sz="0" w:space="0" w:color="auto" w:frame="1"/>
        </w:rPr>
        <w:t>secondaire</w:t>
      </w:r>
      <w:proofErr w:type="spellEnd"/>
      <w:r w:rsidRPr="00E71376">
        <w:rPr>
          <w:rFonts w:eastAsia="Times New Roman" w:cs="Helvetica"/>
        </w:rPr>
        <w:br/>
        <w:t>Grade 7 /Secondary 1 (12-13)</w:t>
      </w:r>
      <w:r w:rsidRPr="00E71376">
        <w:rPr>
          <w:rFonts w:eastAsia="Times New Roman" w:cs="Helvetica"/>
        </w:rPr>
        <w:br/>
        <w:t>Grade 8/Secondary 2 (13-14)</w:t>
      </w:r>
      <w:r w:rsidRPr="00E71376">
        <w:rPr>
          <w:rFonts w:eastAsia="Times New Roman" w:cs="Helvetica"/>
        </w:rPr>
        <w:br/>
        <w:t>Grade 9/Secondary 3 (14-15)</w:t>
      </w:r>
      <w:r w:rsidRPr="00E71376">
        <w:rPr>
          <w:rFonts w:eastAsia="Times New Roman" w:cs="Helvetica"/>
        </w:rPr>
        <w:br/>
        <w:t>Grade 10/Secondary 4 (15-16)</w:t>
      </w:r>
      <w:r w:rsidRPr="00E71376">
        <w:rPr>
          <w:rFonts w:eastAsia="Times New Roman" w:cs="Helvetica"/>
        </w:rPr>
        <w:br/>
        <w:t>Grade 11/Secondary 5 (16-17)</w:t>
      </w:r>
    </w:p>
    <w:p w:rsidR="00C9750B" w:rsidRDefault="006C2CFE" w:rsidP="00C9750B">
      <w:pPr>
        <w:shd w:val="clear" w:color="auto" w:fill="FFFFFF"/>
        <w:spacing w:after="0" w:line="366" w:lineRule="atLeast"/>
        <w:textAlignment w:val="baseline"/>
        <w:rPr>
          <w:rFonts w:eastAsia="Times New Roman" w:cs="Helvetica"/>
          <w:b/>
          <w:i/>
        </w:rPr>
      </w:pPr>
      <w:r>
        <w:rPr>
          <w:rFonts w:eastAsia="Times New Roman" w:cs="Helvetica"/>
          <w:b/>
          <w:i/>
        </w:rPr>
        <w:t>CEGEP</w:t>
      </w:r>
    </w:p>
    <w:p w:rsidR="006C2CFE" w:rsidRDefault="006C2CFE" w:rsidP="00C9750B">
      <w:pPr>
        <w:shd w:val="clear" w:color="auto" w:fill="FFFFFF"/>
        <w:spacing w:after="0" w:line="366" w:lineRule="atLeast"/>
        <w:textAlignment w:val="baseline"/>
        <w:rPr>
          <w:rFonts w:eastAsia="Times New Roman" w:cs="Helvetica"/>
        </w:rPr>
      </w:pPr>
      <w:r>
        <w:rPr>
          <w:rFonts w:eastAsia="Times New Roman" w:cs="Helvetica"/>
        </w:rPr>
        <w:t>CEGEP 1 (17-18)</w:t>
      </w:r>
    </w:p>
    <w:p w:rsidR="006C2CFE" w:rsidRPr="006C2CFE" w:rsidRDefault="006C2CFE" w:rsidP="00C9750B">
      <w:pPr>
        <w:shd w:val="clear" w:color="auto" w:fill="FFFFFF"/>
        <w:spacing w:after="0" w:line="366" w:lineRule="atLeast"/>
        <w:textAlignment w:val="baseline"/>
        <w:rPr>
          <w:rFonts w:eastAsia="Times New Roman" w:cs="Helvetica"/>
        </w:rPr>
      </w:pPr>
      <w:r>
        <w:rPr>
          <w:rFonts w:eastAsia="Times New Roman" w:cs="Helvetica"/>
        </w:rPr>
        <w:t>CEGEP 2 (18-19)</w:t>
      </w:r>
    </w:p>
    <w:p w:rsidR="006C2CFE" w:rsidRDefault="006C2CFE" w:rsidP="00C9750B">
      <w:pPr>
        <w:shd w:val="clear" w:color="auto" w:fill="FFFFFF"/>
        <w:spacing w:after="0" w:line="366" w:lineRule="atLeast"/>
        <w:textAlignment w:val="baseline"/>
        <w:rPr>
          <w:rFonts w:eastAsia="Times New Roman" w:cs="Helvetica"/>
        </w:rPr>
        <w:sectPr w:rsidR="006C2CFE" w:rsidSect="006C2CFE">
          <w:type w:val="continuous"/>
          <w:pgSz w:w="12240" w:h="15840"/>
          <w:pgMar w:top="1440" w:right="1440" w:bottom="1440" w:left="1440" w:header="720" w:footer="720" w:gutter="0"/>
          <w:cols w:num="2" w:space="720"/>
          <w:docGrid w:linePitch="360"/>
        </w:sectPr>
      </w:pPr>
    </w:p>
    <w:p w:rsidR="00CC189C" w:rsidRPr="00E71376" w:rsidRDefault="00CC189C" w:rsidP="00C9750B">
      <w:pPr>
        <w:spacing w:after="0" w:line="240" w:lineRule="auto"/>
        <w:rPr>
          <w:rFonts w:eastAsia="Times New Roman" w:cs="Times New Roman"/>
          <w:b/>
        </w:rPr>
      </w:pPr>
      <w:hyperlink r:id="rId13" w:history="1">
        <w:r w:rsidRPr="006C2CFE">
          <w:rPr>
            <w:rFonts w:eastAsia="Times New Roman" w:cs="Helvetica"/>
            <w:b/>
            <w:bdr w:val="none" w:sz="0" w:space="0" w:color="auto" w:frame="1"/>
            <w:shd w:val="clear" w:color="auto" w:fill="FFFFFF"/>
          </w:rPr>
          <w:t>CEGEP</w:t>
        </w:r>
      </w:hyperlink>
    </w:p>
    <w:p w:rsidR="00CC189C" w:rsidRPr="00E71376" w:rsidRDefault="00CC189C" w:rsidP="00C9750B">
      <w:pPr>
        <w:shd w:val="clear" w:color="auto" w:fill="FFFFFF"/>
        <w:spacing w:after="0" w:line="366" w:lineRule="atLeast"/>
        <w:textAlignment w:val="baseline"/>
        <w:rPr>
          <w:rFonts w:eastAsia="Times New Roman" w:cs="Helvetica"/>
        </w:rPr>
      </w:pPr>
      <w:r w:rsidRPr="00E71376">
        <w:rPr>
          <w:rFonts w:eastAsia="Times New Roman" w:cs="Helvetica"/>
        </w:rPr>
        <w:t>CEGEP, or</w:t>
      </w:r>
      <w:r w:rsidRPr="00CC189C">
        <w:rPr>
          <w:rFonts w:eastAsia="Times New Roman" w:cs="Helvetica"/>
        </w:rPr>
        <w:t> </w:t>
      </w:r>
      <w:proofErr w:type="spellStart"/>
      <w:r w:rsidRPr="00CC189C">
        <w:rPr>
          <w:rFonts w:eastAsia="Times New Roman" w:cs="Helvetica"/>
          <w:i/>
          <w:iCs/>
          <w:bdr w:val="none" w:sz="0" w:space="0" w:color="auto" w:frame="1"/>
        </w:rPr>
        <w:t>Collège</w:t>
      </w:r>
      <w:proofErr w:type="spellEnd"/>
      <w:r w:rsidRPr="00CC189C">
        <w:rPr>
          <w:rFonts w:eastAsia="Times New Roman" w:cs="Helvetica"/>
          <w:i/>
          <w:iCs/>
          <w:bdr w:val="none" w:sz="0" w:space="0" w:color="auto" w:frame="1"/>
        </w:rPr>
        <w:t xml:space="preserve"> </w:t>
      </w:r>
      <w:proofErr w:type="spellStart"/>
      <w:r w:rsidRPr="00CC189C">
        <w:rPr>
          <w:rFonts w:eastAsia="Times New Roman" w:cs="Helvetica"/>
          <w:i/>
          <w:iCs/>
          <w:bdr w:val="none" w:sz="0" w:space="0" w:color="auto" w:frame="1"/>
        </w:rPr>
        <w:t>d’enseignement</w:t>
      </w:r>
      <w:proofErr w:type="spellEnd"/>
      <w:r w:rsidRPr="00CC189C">
        <w:rPr>
          <w:rFonts w:eastAsia="Times New Roman" w:cs="Helvetica"/>
          <w:i/>
          <w:iCs/>
          <w:bdr w:val="none" w:sz="0" w:space="0" w:color="auto" w:frame="1"/>
        </w:rPr>
        <w:t xml:space="preserve"> </w:t>
      </w:r>
      <w:proofErr w:type="spellStart"/>
      <w:r w:rsidRPr="00CC189C">
        <w:rPr>
          <w:rFonts w:eastAsia="Times New Roman" w:cs="Helvetica"/>
          <w:i/>
          <w:iCs/>
          <w:bdr w:val="none" w:sz="0" w:space="0" w:color="auto" w:frame="1"/>
        </w:rPr>
        <w:t>général</w:t>
      </w:r>
      <w:proofErr w:type="spellEnd"/>
      <w:r w:rsidRPr="00CC189C">
        <w:rPr>
          <w:rFonts w:eastAsia="Times New Roman" w:cs="Helvetica"/>
          <w:i/>
          <w:iCs/>
          <w:bdr w:val="none" w:sz="0" w:space="0" w:color="auto" w:frame="1"/>
        </w:rPr>
        <w:t xml:space="preserve"> </w:t>
      </w:r>
      <w:proofErr w:type="gramStart"/>
      <w:r w:rsidRPr="00CC189C">
        <w:rPr>
          <w:rFonts w:eastAsia="Times New Roman" w:cs="Helvetica"/>
          <w:i/>
          <w:iCs/>
          <w:bdr w:val="none" w:sz="0" w:space="0" w:color="auto" w:frame="1"/>
        </w:rPr>
        <w:t>et</w:t>
      </w:r>
      <w:proofErr w:type="gramEnd"/>
      <w:r w:rsidRPr="00CC189C">
        <w:rPr>
          <w:rFonts w:eastAsia="Times New Roman" w:cs="Helvetica"/>
          <w:i/>
          <w:iCs/>
          <w:bdr w:val="none" w:sz="0" w:space="0" w:color="auto" w:frame="1"/>
        </w:rPr>
        <w:t xml:space="preserve"> </w:t>
      </w:r>
      <w:proofErr w:type="spellStart"/>
      <w:r w:rsidRPr="00CC189C">
        <w:rPr>
          <w:rFonts w:eastAsia="Times New Roman" w:cs="Helvetica"/>
          <w:i/>
          <w:iCs/>
          <w:bdr w:val="none" w:sz="0" w:space="0" w:color="auto" w:frame="1"/>
        </w:rPr>
        <w:t>professionnel</w:t>
      </w:r>
      <w:proofErr w:type="spellEnd"/>
      <w:r w:rsidRPr="00CC189C">
        <w:rPr>
          <w:rFonts w:eastAsia="Times New Roman" w:cs="Helvetica"/>
          <w:i/>
          <w:iCs/>
          <w:bdr w:val="none" w:sz="0" w:space="0" w:color="auto" w:frame="1"/>
        </w:rPr>
        <w:t> </w:t>
      </w:r>
      <w:r w:rsidR="006C2CFE">
        <w:rPr>
          <w:rFonts w:eastAsia="Times New Roman" w:cs="Helvetica"/>
        </w:rPr>
        <w:t>(</w:t>
      </w:r>
      <w:r w:rsidRPr="00E71376">
        <w:rPr>
          <w:rFonts w:eastAsia="Times New Roman" w:cs="Helvetica"/>
        </w:rPr>
        <w:t>College of General and Vocation</w:t>
      </w:r>
      <w:r w:rsidR="006C2CFE">
        <w:rPr>
          <w:rFonts w:eastAsia="Times New Roman" w:cs="Helvetica"/>
        </w:rPr>
        <w:t xml:space="preserve">al </w:t>
      </w:r>
      <w:r w:rsidRPr="00E71376">
        <w:rPr>
          <w:rFonts w:eastAsia="Times New Roman" w:cs="Helvetica"/>
        </w:rPr>
        <w:t>Education), is a pre-college university program unique to Quebec. Students from Quebec wishing to receive post-secondary education either in or outside of Quebec</w:t>
      </w:r>
      <w:r w:rsidRPr="00CC189C">
        <w:rPr>
          <w:rFonts w:eastAsia="Times New Roman" w:cs="Helvetica"/>
        </w:rPr>
        <w:t> </w:t>
      </w:r>
      <w:r w:rsidRPr="00CC189C">
        <w:rPr>
          <w:rFonts w:eastAsia="Times New Roman" w:cs="Helvetica"/>
          <w:i/>
          <w:iCs/>
          <w:bdr w:val="none" w:sz="0" w:space="0" w:color="auto" w:frame="1"/>
        </w:rPr>
        <w:t>must</w:t>
      </w:r>
      <w:r w:rsidRPr="00CC189C">
        <w:rPr>
          <w:rFonts w:eastAsia="Times New Roman" w:cs="Helvetica"/>
        </w:rPr>
        <w:t> </w:t>
      </w:r>
      <w:r w:rsidRPr="00E71376">
        <w:rPr>
          <w:rFonts w:eastAsia="Times New Roman" w:cs="Helvetica"/>
        </w:rPr>
        <w:t>first enroll in and complete a CEGEP program for at least one year. Quebecois students may not attend university with just a secondary education diploma; they must have completed a CEGEP program as well.</w:t>
      </w:r>
      <w:r w:rsidR="006C2CFE">
        <w:rPr>
          <w:rFonts w:eastAsia="Times New Roman" w:cs="Helvetica"/>
        </w:rPr>
        <w:t xml:space="preserve"> Quebecoise students who have completed CEGEP can then enroll at a Quebec university and complete their Bachelor’s in three years.</w:t>
      </w:r>
    </w:p>
    <w:p w:rsidR="00CC189C" w:rsidRPr="00CC189C" w:rsidRDefault="00CC189C" w:rsidP="00C9750B">
      <w:pPr>
        <w:spacing w:after="0"/>
      </w:pPr>
    </w:p>
    <w:p w:rsidR="00CC189C" w:rsidRPr="00CC189C" w:rsidRDefault="00CC189C" w:rsidP="00C9750B">
      <w:pPr>
        <w:spacing w:after="0"/>
      </w:pPr>
    </w:p>
    <w:p w:rsidR="00CC189C" w:rsidRPr="00CC189C" w:rsidRDefault="00CC189C" w:rsidP="00C9750B">
      <w:pPr>
        <w:spacing w:after="0"/>
      </w:pPr>
    </w:p>
    <w:p w:rsidR="00CC189C" w:rsidRPr="00E71376" w:rsidRDefault="00CC189C" w:rsidP="00C9750B">
      <w:pPr>
        <w:spacing w:after="0" w:line="240" w:lineRule="auto"/>
        <w:rPr>
          <w:rFonts w:eastAsia="Times New Roman" w:cs="Times New Roman"/>
          <w:b/>
        </w:rPr>
      </w:pPr>
      <w:hyperlink r:id="rId14" w:history="1">
        <w:r w:rsidRPr="00CC189C">
          <w:rPr>
            <w:rFonts w:eastAsia="Times New Roman" w:cs="Helvetica"/>
            <w:b/>
            <w:bdr w:val="none" w:sz="0" w:space="0" w:color="auto" w:frame="1"/>
            <w:shd w:val="clear" w:color="auto" w:fill="FFFFFF"/>
          </w:rPr>
          <w:t>Grading</w:t>
        </w:r>
        <w:r w:rsidRPr="00CC189C">
          <w:rPr>
            <w:rFonts w:eastAsia="Times New Roman" w:cs="Helvetica"/>
            <w:b/>
            <w:bCs/>
            <w:bdr w:val="none" w:sz="0" w:space="0" w:color="auto" w:frame="1"/>
            <w:shd w:val="clear" w:color="auto" w:fill="FFFFFF"/>
          </w:rPr>
          <w:t> System</w:t>
        </w:r>
      </w:hyperlink>
    </w:p>
    <w:p w:rsidR="00CC189C" w:rsidRPr="00E71376" w:rsidRDefault="00CC189C" w:rsidP="00C9750B">
      <w:pPr>
        <w:shd w:val="clear" w:color="auto" w:fill="FFFFFF"/>
        <w:spacing w:after="0" w:line="366" w:lineRule="atLeast"/>
        <w:textAlignment w:val="baseline"/>
        <w:rPr>
          <w:rFonts w:eastAsia="Times New Roman" w:cs="Helvetica"/>
        </w:rPr>
      </w:pPr>
      <w:r w:rsidRPr="00E71376">
        <w:rPr>
          <w:rFonts w:eastAsia="Times New Roman" w:cs="Helvetica"/>
        </w:rPr>
        <w:t>The grading system in Canada differs from that in the United States. Each province uses its own system, so it’s important to keep in mind which provinces your Canadian applicants come from</w:t>
      </w:r>
      <w:r>
        <w:rPr>
          <w:rFonts w:eastAsia="Times New Roman" w:cs="Helvetica"/>
        </w:rPr>
        <w:t xml:space="preserve">. Most notably, grades between 90 and 100 are typically considered </w:t>
      </w:r>
      <w:r w:rsidR="006C2CFE">
        <w:rPr>
          <w:rFonts w:eastAsia="Times New Roman" w:cs="Helvetica"/>
        </w:rPr>
        <w:t>to be</w:t>
      </w:r>
      <w:r>
        <w:rPr>
          <w:rFonts w:eastAsia="Times New Roman" w:cs="Helvetica"/>
        </w:rPr>
        <w:t xml:space="preserve"> an A+, and grades in the 80’s are an A. Treat a student with an over 90 grade average like an honors student who is getting over a 4.0.</w:t>
      </w:r>
    </w:p>
    <w:p w:rsidR="00E71376" w:rsidRDefault="00E71376" w:rsidP="00C9750B">
      <w:pPr>
        <w:spacing w:after="0"/>
      </w:pPr>
    </w:p>
    <w:p w:rsidR="00E71376" w:rsidRPr="006C2CFE" w:rsidRDefault="00E71376">
      <w:pPr>
        <w:rPr>
          <w:i/>
        </w:rPr>
      </w:pPr>
      <w:r w:rsidRPr="006C2CFE">
        <w:rPr>
          <w:i/>
        </w:rPr>
        <w:t>Alberta/British Columbia</w:t>
      </w:r>
      <w:r w:rsidR="00CC189C" w:rsidRPr="006C2CFE">
        <w:rPr>
          <w:i/>
        </w:rPr>
        <w:t>/Yukon Territory</w:t>
      </w:r>
    </w:p>
    <w:tbl>
      <w:tblPr>
        <w:tblStyle w:val="PlainTable2"/>
        <w:tblW w:w="0" w:type="auto"/>
        <w:tblLook w:val="04A0" w:firstRow="1" w:lastRow="0" w:firstColumn="1" w:lastColumn="0" w:noHBand="0" w:noVBand="1"/>
      </w:tblPr>
      <w:tblGrid>
        <w:gridCol w:w="1870"/>
        <w:gridCol w:w="1870"/>
        <w:gridCol w:w="1870"/>
        <w:gridCol w:w="1870"/>
        <w:gridCol w:w="1870"/>
      </w:tblGrid>
      <w:tr w:rsidR="00E71376"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
              <w:t>Letter Grade</w:t>
            </w:r>
          </w:p>
        </w:tc>
        <w:tc>
          <w:tcPr>
            <w:tcW w:w="1870" w:type="dxa"/>
          </w:tcPr>
          <w:p w:rsidR="00E71376" w:rsidRDefault="00E7137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E71376" w:rsidRDefault="00E7137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E71376" w:rsidRDefault="00E7137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E71376" w:rsidRDefault="00E71376">
            <w:pPr>
              <w:cnfStyle w:val="100000000000" w:firstRow="1"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
              <w:t>A</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r>
              <w:t>86-100</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
              <w:t>B</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r>
              <w:t>73-85</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
              <w:t>C</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r>
              <w:t>50-72</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E71376" w:rsidRDefault="00E7137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E71376" w:rsidRDefault="00E71376" w:rsidP="00E71376">
            <w:pPr>
              <w:jc w:val="center"/>
              <w:cnfStyle w:val="000000100000" w:firstRow="0" w:lastRow="0" w:firstColumn="0" w:lastColumn="0" w:oddVBand="0" w:evenVBand="0" w:oddHBand="1" w:evenHBand="0" w:firstRowFirstColumn="0" w:firstRowLastColumn="0" w:lastRowFirstColumn="0" w:lastRowLastColumn="0"/>
            </w:pPr>
            <w:r>
              <w:t>Lowest passing grade</w:t>
            </w: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
              <w:t>F</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r>
              <w:t>0-49</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r>
              <w:t>F</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r>
              <w:t>0</w:t>
            </w:r>
          </w:p>
        </w:tc>
        <w:tc>
          <w:tcPr>
            <w:tcW w:w="1870" w:type="dxa"/>
          </w:tcPr>
          <w:p w:rsidR="00E71376" w:rsidRDefault="00E71376">
            <w:pPr>
              <w:cnfStyle w:val="000000000000" w:firstRow="0" w:lastRow="0" w:firstColumn="0" w:lastColumn="0" w:oddVBand="0" w:evenVBand="0" w:oddHBand="0" w:evenHBand="0" w:firstRowFirstColumn="0" w:firstRowLastColumn="0" w:lastRowFirstColumn="0" w:lastRowLastColumn="0"/>
            </w:pPr>
          </w:p>
        </w:tc>
      </w:tr>
    </w:tbl>
    <w:p w:rsidR="00E71376" w:rsidRDefault="00E71376"/>
    <w:p w:rsidR="00E71376" w:rsidRPr="006C2CFE" w:rsidRDefault="00E71376">
      <w:pPr>
        <w:rPr>
          <w:i/>
        </w:rPr>
      </w:pPr>
      <w:r w:rsidRPr="006C2CFE">
        <w:rPr>
          <w:i/>
        </w:rPr>
        <w:t>Manitoba</w:t>
      </w:r>
      <w:r w:rsidR="00CC189C" w:rsidRPr="006C2CFE">
        <w:rPr>
          <w:i/>
        </w:rPr>
        <w:t>/Ontario</w:t>
      </w:r>
    </w:p>
    <w:tbl>
      <w:tblPr>
        <w:tblStyle w:val="PlainTable2"/>
        <w:tblW w:w="0" w:type="auto"/>
        <w:tblLook w:val="04A0" w:firstRow="1" w:lastRow="0" w:firstColumn="1" w:lastColumn="0" w:noHBand="0" w:noVBand="1"/>
      </w:tblPr>
      <w:tblGrid>
        <w:gridCol w:w="1870"/>
        <w:gridCol w:w="1870"/>
        <w:gridCol w:w="1870"/>
        <w:gridCol w:w="1870"/>
        <w:gridCol w:w="1870"/>
      </w:tblGrid>
      <w:tr w:rsidR="00E71376"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Letter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A</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80</w:t>
            </w:r>
            <w:r>
              <w:t>-100</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B</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70-79</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C</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56-69</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E71376" w:rsidRDefault="00E71376" w:rsidP="00B255D6">
            <w:pPr>
              <w:jc w:val="center"/>
              <w:cnfStyle w:val="000000100000" w:firstRow="0" w:lastRow="0" w:firstColumn="0" w:lastColumn="0" w:oddVBand="0" w:evenVBand="0" w:oddHBand="1" w:evenHBand="0" w:firstRowFirstColumn="0" w:firstRowLastColumn="0" w:lastRowFirstColumn="0" w:lastRowLastColumn="0"/>
            </w:pP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D</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50-55</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D</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1</w:t>
            </w:r>
          </w:p>
        </w:tc>
        <w:tc>
          <w:tcPr>
            <w:tcW w:w="1870" w:type="dxa"/>
          </w:tcPr>
          <w:p w:rsidR="00E71376" w:rsidRDefault="00E71376" w:rsidP="00B255D6">
            <w:pPr>
              <w:jc w:val="center"/>
              <w:cnfStyle w:val="000000000000" w:firstRow="0" w:lastRow="0" w:firstColumn="0" w:lastColumn="0" w:oddVBand="0" w:evenVBand="0" w:oddHBand="0" w:evenHBand="0" w:firstRowFirstColumn="0" w:firstRowLastColumn="0" w:lastRowFirstColumn="0" w:lastRowLastColumn="0"/>
            </w:pPr>
            <w:r>
              <w:t>Lowest passing grade</w:t>
            </w: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F</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0-49</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F</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0</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p>
        </w:tc>
      </w:tr>
    </w:tbl>
    <w:p w:rsidR="00E71376" w:rsidRDefault="00E71376"/>
    <w:p w:rsidR="00E71376" w:rsidRPr="006C2CFE" w:rsidRDefault="00E71376">
      <w:pPr>
        <w:rPr>
          <w:i/>
        </w:rPr>
      </w:pPr>
      <w:r w:rsidRPr="006C2CFE">
        <w:rPr>
          <w:i/>
        </w:rPr>
        <w:t>New Brunswick</w:t>
      </w:r>
    </w:p>
    <w:tbl>
      <w:tblPr>
        <w:tblStyle w:val="PlainTable2"/>
        <w:tblW w:w="0" w:type="auto"/>
        <w:tblLook w:val="04A0" w:firstRow="1" w:lastRow="0" w:firstColumn="1" w:lastColumn="0" w:noHBand="0" w:noVBand="1"/>
      </w:tblPr>
      <w:tblGrid>
        <w:gridCol w:w="1870"/>
        <w:gridCol w:w="1870"/>
        <w:gridCol w:w="1870"/>
        <w:gridCol w:w="1870"/>
        <w:gridCol w:w="1870"/>
      </w:tblGrid>
      <w:tr w:rsidR="00E71376"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Letter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A</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86-100</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B</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73-85</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C</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6</w:t>
            </w:r>
            <w:r>
              <w:t>0-72</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E71376" w:rsidRDefault="00E71376" w:rsidP="00B255D6">
            <w:pPr>
              <w:jc w:val="center"/>
              <w:cnfStyle w:val="000000100000" w:firstRow="0" w:lastRow="0" w:firstColumn="0" w:lastColumn="0" w:oddVBand="0" w:evenVBand="0" w:oddHBand="1" w:evenHBand="0" w:firstRowFirstColumn="0" w:firstRowLastColumn="0" w:lastRowFirstColumn="0" w:lastRowLastColumn="0"/>
            </w:pPr>
            <w:r>
              <w:t>Lowest passing grade</w:t>
            </w: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F</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0-5</w:t>
            </w:r>
            <w:r>
              <w:t>9</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F</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0</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p>
        </w:tc>
      </w:tr>
    </w:tbl>
    <w:p w:rsidR="00E71376" w:rsidRDefault="00E71376"/>
    <w:p w:rsidR="006C2CFE" w:rsidRDefault="006C2CFE">
      <w:pPr>
        <w:rPr>
          <w:i/>
        </w:rPr>
      </w:pPr>
    </w:p>
    <w:p w:rsidR="006C2CFE" w:rsidRDefault="006C2CFE">
      <w:pPr>
        <w:rPr>
          <w:i/>
        </w:rPr>
      </w:pPr>
    </w:p>
    <w:p w:rsidR="006C2CFE" w:rsidRDefault="006C2CFE">
      <w:pPr>
        <w:rPr>
          <w:i/>
        </w:rPr>
      </w:pPr>
    </w:p>
    <w:p w:rsidR="006C2CFE" w:rsidRDefault="006C2CFE">
      <w:pPr>
        <w:rPr>
          <w:i/>
        </w:rPr>
      </w:pPr>
    </w:p>
    <w:p w:rsidR="00E71376" w:rsidRPr="006C2CFE" w:rsidRDefault="00E71376">
      <w:pPr>
        <w:rPr>
          <w:i/>
        </w:rPr>
      </w:pPr>
      <w:r w:rsidRPr="006C2CFE">
        <w:rPr>
          <w:i/>
        </w:rPr>
        <w:lastRenderedPageBreak/>
        <w:t>Newfoundland and Labrador/Northwest Territories</w:t>
      </w:r>
      <w:r w:rsidR="00CC189C" w:rsidRPr="006C2CFE">
        <w:rPr>
          <w:i/>
        </w:rPr>
        <w:t>/Saskatchewan</w:t>
      </w:r>
    </w:p>
    <w:tbl>
      <w:tblPr>
        <w:tblStyle w:val="PlainTable2"/>
        <w:tblW w:w="0" w:type="auto"/>
        <w:tblLook w:val="04A0" w:firstRow="1" w:lastRow="0" w:firstColumn="1" w:lastColumn="0" w:noHBand="0" w:noVBand="1"/>
      </w:tblPr>
      <w:tblGrid>
        <w:gridCol w:w="1870"/>
        <w:gridCol w:w="1870"/>
        <w:gridCol w:w="1870"/>
        <w:gridCol w:w="1870"/>
        <w:gridCol w:w="1870"/>
      </w:tblGrid>
      <w:tr w:rsidR="00E71376"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Letter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E71376" w:rsidRDefault="00E71376" w:rsidP="00B255D6">
            <w:pPr>
              <w:cnfStyle w:val="100000000000" w:firstRow="1"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A</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80-100</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B</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70-79</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C</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60-69</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E71376" w:rsidRDefault="00E71376" w:rsidP="00B255D6">
            <w:pPr>
              <w:jc w:val="center"/>
              <w:cnfStyle w:val="000000100000" w:firstRow="0" w:lastRow="0" w:firstColumn="0" w:lastColumn="0" w:oddVBand="0" w:evenVBand="0" w:oddHBand="1" w:evenHBand="0" w:firstRowFirstColumn="0" w:firstRowLastColumn="0" w:lastRowFirstColumn="0" w:lastRowLastColumn="0"/>
            </w:pPr>
          </w:p>
        </w:tc>
      </w:tr>
      <w:tr w:rsidR="00E71376" w:rsidTr="006C2CFE">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D</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50-59</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D</w:t>
            </w:r>
          </w:p>
        </w:tc>
        <w:tc>
          <w:tcPr>
            <w:tcW w:w="1870" w:type="dxa"/>
          </w:tcPr>
          <w:p w:rsidR="00E71376" w:rsidRDefault="00E71376" w:rsidP="00B255D6">
            <w:pPr>
              <w:cnfStyle w:val="000000000000" w:firstRow="0" w:lastRow="0" w:firstColumn="0" w:lastColumn="0" w:oddVBand="0" w:evenVBand="0" w:oddHBand="0" w:evenHBand="0" w:firstRowFirstColumn="0" w:firstRowLastColumn="0" w:lastRowFirstColumn="0" w:lastRowLastColumn="0"/>
            </w:pPr>
            <w:r>
              <w:t>1</w:t>
            </w:r>
          </w:p>
        </w:tc>
        <w:tc>
          <w:tcPr>
            <w:tcW w:w="1870" w:type="dxa"/>
          </w:tcPr>
          <w:p w:rsidR="00E71376" w:rsidRDefault="00E71376" w:rsidP="00B255D6">
            <w:pPr>
              <w:jc w:val="center"/>
              <w:cnfStyle w:val="000000000000" w:firstRow="0" w:lastRow="0" w:firstColumn="0" w:lastColumn="0" w:oddVBand="0" w:evenVBand="0" w:oddHBand="0" w:evenHBand="0" w:firstRowFirstColumn="0" w:firstRowLastColumn="0" w:lastRowFirstColumn="0" w:lastRowLastColumn="0"/>
            </w:pPr>
            <w:r>
              <w:t>Lowest passing grade</w:t>
            </w:r>
          </w:p>
        </w:tc>
      </w:tr>
      <w:tr w:rsidR="00E71376"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E71376" w:rsidRDefault="00E71376" w:rsidP="00B255D6">
            <w:r>
              <w:t>F</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0-49</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F</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r>
              <w:t>0</w:t>
            </w:r>
          </w:p>
        </w:tc>
        <w:tc>
          <w:tcPr>
            <w:tcW w:w="1870" w:type="dxa"/>
          </w:tcPr>
          <w:p w:rsidR="00E71376" w:rsidRDefault="00E71376" w:rsidP="00B255D6">
            <w:pPr>
              <w:cnfStyle w:val="000000100000" w:firstRow="0" w:lastRow="0" w:firstColumn="0" w:lastColumn="0" w:oddVBand="0" w:evenVBand="0" w:oddHBand="1" w:evenHBand="0" w:firstRowFirstColumn="0" w:firstRowLastColumn="0" w:lastRowFirstColumn="0" w:lastRowLastColumn="0"/>
            </w:pPr>
          </w:p>
        </w:tc>
      </w:tr>
    </w:tbl>
    <w:p w:rsidR="00E71376" w:rsidRDefault="00E71376"/>
    <w:p w:rsidR="00CC189C" w:rsidRPr="006C2CFE" w:rsidRDefault="00CC189C">
      <w:pPr>
        <w:rPr>
          <w:i/>
        </w:rPr>
      </w:pPr>
      <w:r w:rsidRPr="006C2CFE">
        <w:rPr>
          <w:i/>
        </w:rPr>
        <w:t>Nova Scotia</w:t>
      </w:r>
    </w:p>
    <w:tbl>
      <w:tblPr>
        <w:tblStyle w:val="PlainTable2"/>
        <w:tblW w:w="0" w:type="auto"/>
        <w:tblLook w:val="04A0" w:firstRow="1" w:lastRow="0" w:firstColumn="1" w:lastColumn="0" w:noHBand="0" w:noVBand="1"/>
      </w:tblPr>
      <w:tblGrid>
        <w:gridCol w:w="1870"/>
        <w:gridCol w:w="1870"/>
        <w:gridCol w:w="1870"/>
        <w:gridCol w:w="1870"/>
        <w:gridCol w:w="1870"/>
      </w:tblGrid>
      <w:tr w:rsidR="00CC189C"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Letter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A</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85</w:t>
            </w:r>
            <w:r>
              <w:t>-100</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p>
        </w:tc>
      </w:tr>
      <w:tr w:rsidR="00CC189C" w:rsidTr="006C2CFE">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B</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70-84</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C</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60-69</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CC189C" w:rsidRDefault="00CC189C" w:rsidP="00B255D6">
            <w:pPr>
              <w:jc w:val="center"/>
              <w:cnfStyle w:val="000000100000" w:firstRow="0" w:lastRow="0" w:firstColumn="0" w:lastColumn="0" w:oddVBand="0" w:evenVBand="0" w:oddHBand="1" w:evenHBand="0" w:firstRowFirstColumn="0" w:firstRowLastColumn="0" w:lastRowFirstColumn="0" w:lastRowLastColumn="0"/>
            </w:pPr>
          </w:p>
        </w:tc>
      </w:tr>
      <w:tr w:rsidR="00CC189C" w:rsidTr="006C2CFE">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D</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50-59</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D</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1</w:t>
            </w:r>
          </w:p>
        </w:tc>
        <w:tc>
          <w:tcPr>
            <w:tcW w:w="1870" w:type="dxa"/>
          </w:tcPr>
          <w:p w:rsidR="00CC189C" w:rsidRDefault="00CC189C" w:rsidP="00B255D6">
            <w:pPr>
              <w:jc w:val="center"/>
              <w:cnfStyle w:val="000000000000" w:firstRow="0" w:lastRow="0" w:firstColumn="0" w:lastColumn="0" w:oddVBand="0" w:evenVBand="0" w:oddHBand="0" w:evenHBand="0" w:firstRowFirstColumn="0" w:firstRowLastColumn="0" w:lastRowFirstColumn="0" w:lastRowLastColumn="0"/>
            </w:pPr>
            <w:r>
              <w:t>Lowest passing grade</w:t>
            </w: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F</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0-49</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F</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0</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p>
        </w:tc>
      </w:tr>
    </w:tbl>
    <w:p w:rsidR="00CC189C" w:rsidRDefault="00CC189C"/>
    <w:p w:rsidR="00CC189C" w:rsidRPr="006C2CFE" w:rsidRDefault="00CC189C">
      <w:pPr>
        <w:rPr>
          <w:i/>
        </w:rPr>
      </w:pPr>
      <w:r w:rsidRPr="006C2CFE">
        <w:rPr>
          <w:i/>
        </w:rPr>
        <w:t>Nunavut</w:t>
      </w:r>
    </w:p>
    <w:tbl>
      <w:tblPr>
        <w:tblStyle w:val="PlainTable2"/>
        <w:tblW w:w="0" w:type="auto"/>
        <w:tblLook w:val="04A0" w:firstRow="1" w:lastRow="0" w:firstColumn="1" w:lastColumn="0" w:noHBand="0" w:noVBand="1"/>
      </w:tblPr>
      <w:tblGrid>
        <w:gridCol w:w="1870"/>
        <w:gridCol w:w="1870"/>
        <w:gridCol w:w="1870"/>
        <w:gridCol w:w="1870"/>
        <w:gridCol w:w="1870"/>
      </w:tblGrid>
      <w:tr w:rsidR="00CC189C"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Letter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A</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80</w:t>
            </w:r>
            <w:r>
              <w:t>-100</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p>
        </w:tc>
      </w:tr>
      <w:tr w:rsidR="00CC189C" w:rsidTr="006C2CFE">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B</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65-79</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C</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50-64</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CC189C" w:rsidRDefault="00CC189C" w:rsidP="00B255D6">
            <w:pPr>
              <w:jc w:val="center"/>
              <w:cnfStyle w:val="000000100000" w:firstRow="0" w:lastRow="0" w:firstColumn="0" w:lastColumn="0" w:oddVBand="0" w:evenVBand="0" w:oddHBand="1" w:evenHBand="0" w:firstRowFirstColumn="0" w:firstRowLastColumn="0" w:lastRowFirstColumn="0" w:lastRowLastColumn="0"/>
            </w:pPr>
            <w:r>
              <w:t>Lowest passing grade</w:t>
            </w:r>
          </w:p>
        </w:tc>
      </w:tr>
      <w:tr w:rsidR="00CC189C" w:rsidTr="006C2CFE">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F</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0-4</w:t>
            </w:r>
            <w:r>
              <w:t>9</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F</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0</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p>
        </w:tc>
      </w:tr>
    </w:tbl>
    <w:p w:rsidR="00CC189C" w:rsidRDefault="00CC189C"/>
    <w:p w:rsidR="00CC189C" w:rsidRPr="006C2CFE" w:rsidRDefault="00CC189C">
      <w:pPr>
        <w:rPr>
          <w:i/>
        </w:rPr>
      </w:pPr>
      <w:r w:rsidRPr="006C2CFE">
        <w:rPr>
          <w:i/>
        </w:rPr>
        <w:t>Prince Edward Island/Quebec</w:t>
      </w:r>
    </w:p>
    <w:tbl>
      <w:tblPr>
        <w:tblStyle w:val="PlainTable2"/>
        <w:tblW w:w="0" w:type="auto"/>
        <w:tblLook w:val="04A0" w:firstRow="1" w:lastRow="0" w:firstColumn="1" w:lastColumn="0" w:noHBand="0" w:noVBand="1"/>
      </w:tblPr>
      <w:tblGrid>
        <w:gridCol w:w="1870"/>
        <w:gridCol w:w="1870"/>
        <w:gridCol w:w="1870"/>
        <w:gridCol w:w="1870"/>
        <w:gridCol w:w="1870"/>
      </w:tblGrid>
      <w:tr w:rsidR="00CC189C" w:rsidTr="006C2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Letter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Numeric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US Grade</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r>
              <w:t>Quality Points</w:t>
            </w:r>
          </w:p>
        </w:tc>
        <w:tc>
          <w:tcPr>
            <w:tcW w:w="1870" w:type="dxa"/>
          </w:tcPr>
          <w:p w:rsidR="00CC189C" w:rsidRDefault="00CC189C" w:rsidP="00B255D6">
            <w:pPr>
              <w:cnfStyle w:val="100000000000" w:firstRow="1" w:lastRow="0" w:firstColumn="0" w:lastColumn="0" w:oddVBand="0" w:evenVBand="0" w:oddHBand="0" w:evenHBand="0" w:firstRowFirstColumn="0" w:firstRowLastColumn="0" w:lastRowFirstColumn="0" w:lastRowLastColumn="0"/>
            </w:pP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A</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80-100</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A</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4</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p>
        </w:tc>
      </w:tr>
      <w:tr w:rsidR="00CC189C" w:rsidTr="006C2CFE">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B</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70-79</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B</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3</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p>
        </w:tc>
      </w:tr>
      <w:tr w:rsidR="00CC189C" w:rsidTr="006C2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C</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50-69</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C</w:t>
            </w:r>
          </w:p>
        </w:tc>
        <w:tc>
          <w:tcPr>
            <w:tcW w:w="1870" w:type="dxa"/>
          </w:tcPr>
          <w:p w:rsidR="00CC189C" w:rsidRDefault="00CC189C" w:rsidP="00B255D6">
            <w:pPr>
              <w:cnfStyle w:val="000000100000" w:firstRow="0" w:lastRow="0" w:firstColumn="0" w:lastColumn="0" w:oddVBand="0" w:evenVBand="0" w:oddHBand="1" w:evenHBand="0" w:firstRowFirstColumn="0" w:firstRowLastColumn="0" w:lastRowFirstColumn="0" w:lastRowLastColumn="0"/>
            </w:pPr>
            <w:r>
              <w:t>2</w:t>
            </w:r>
          </w:p>
        </w:tc>
        <w:tc>
          <w:tcPr>
            <w:tcW w:w="1870" w:type="dxa"/>
          </w:tcPr>
          <w:p w:rsidR="00CC189C" w:rsidRDefault="00CC189C" w:rsidP="00B255D6">
            <w:pPr>
              <w:jc w:val="center"/>
              <w:cnfStyle w:val="000000100000" w:firstRow="0" w:lastRow="0" w:firstColumn="0" w:lastColumn="0" w:oddVBand="0" w:evenVBand="0" w:oddHBand="1" w:evenHBand="0" w:firstRowFirstColumn="0" w:firstRowLastColumn="0" w:lastRowFirstColumn="0" w:lastRowLastColumn="0"/>
            </w:pPr>
            <w:r>
              <w:t>Lowest passing grade</w:t>
            </w:r>
          </w:p>
        </w:tc>
      </w:tr>
      <w:tr w:rsidR="00CC189C" w:rsidTr="006C2CFE">
        <w:tc>
          <w:tcPr>
            <w:cnfStyle w:val="001000000000" w:firstRow="0" w:lastRow="0" w:firstColumn="1" w:lastColumn="0" w:oddVBand="0" w:evenVBand="0" w:oddHBand="0" w:evenHBand="0" w:firstRowFirstColumn="0" w:firstRowLastColumn="0" w:lastRowFirstColumn="0" w:lastRowLastColumn="0"/>
            <w:tcW w:w="1870" w:type="dxa"/>
          </w:tcPr>
          <w:p w:rsidR="00CC189C" w:rsidRDefault="00CC189C" w:rsidP="00B255D6">
            <w:r>
              <w:t>F</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0-49</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F</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r>
              <w:t>0</w:t>
            </w:r>
          </w:p>
        </w:tc>
        <w:tc>
          <w:tcPr>
            <w:tcW w:w="1870" w:type="dxa"/>
          </w:tcPr>
          <w:p w:rsidR="00CC189C" w:rsidRDefault="00CC189C" w:rsidP="00B255D6">
            <w:pPr>
              <w:cnfStyle w:val="000000000000" w:firstRow="0" w:lastRow="0" w:firstColumn="0" w:lastColumn="0" w:oddVBand="0" w:evenVBand="0" w:oddHBand="0" w:evenHBand="0" w:firstRowFirstColumn="0" w:firstRowLastColumn="0" w:lastRowFirstColumn="0" w:lastRowLastColumn="0"/>
            </w:pPr>
          </w:p>
        </w:tc>
      </w:tr>
    </w:tbl>
    <w:p w:rsidR="00CC189C" w:rsidRPr="00E71376" w:rsidRDefault="00CC189C"/>
    <w:sectPr w:rsidR="00CC189C" w:rsidRPr="00E71376" w:rsidSect="006C2CF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5F" w:rsidRDefault="00CD335F" w:rsidP="00C9750B">
      <w:pPr>
        <w:spacing w:after="0" w:line="240" w:lineRule="auto"/>
      </w:pPr>
      <w:r>
        <w:separator/>
      </w:r>
    </w:p>
  </w:endnote>
  <w:endnote w:type="continuationSeparator" w:id="0">
    <w:p w:rsidR="00CD335F" w:rsidRDefault="00CD335F" w:rsidP="00C9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5F" w:rsidRDefault="00CD335F" w:rsidP="00C9750B">
      <w:pPr>
        <w:spacing w:after="0" w:line="240" w:lineRule="auto"/>
      </w:pPr>
      <w:r>
        <w:separator/>
      </w:r>
    </w:p>
  </w:footnote>
  <w:footnote w:type="continuationSeparator" w:id="0">
    <w:p w:rsidR="00CD335F" w:rsidRDefault="00CD335F" w:rsidP="00C97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50B" w:rsidRDefault="00C9750B" w:rsidP="00C9750B">
    <w:pPr>
      <w:pStyle w:val="Header"/>
    </w:pPr>
    <w:r>
      <w:t xml:space="preserve">A resource by EducationUSA Canada                                                                                 </w:t>
    </w:r>
    <w:r>
      <w:rPr>
        <w:noProof/>
      </w:rPr>
      <w:drawing>
        <wp:inline distT="0" distB="0" distL="0" distR="0">
          <wp:extent cx="1304925"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SAlogo.jpg"/>
                  <pic:cNvPicPr/>
                </pic:nvPicPr>
                <pic:blipFill rotWithShape="1">
                  <a:blip r:embed="rId1" cstate="print">
                    <a:extLst>
                      <a:ext uri="{28A0092B-C50C-407E-A947-70E740481C1C}">
                        <a14:useLocalDpi xmlns:a14="http://schemas.microsoft.com/office/drawing/2010/main" val="0"/>
                      </a:ext>
                    </a:extLst>
                  </a:blip>
                  <a:srcRect l="15013" t="24193" r="26202" b="29421"/>
                  <a:stretch/>
                </pic:blipFill>
                <pic:spPr bwMode="auto">
                  <a:xfrm>
                    <a:off x="0" y="0"/>
                    <a:ext cx="1343062" cy="676433"/>
                  </a:xfrm>
                  <a:prstGeom prst="rect">
                    <a:avLst/>
                  </a:prstGeom>
                  <a:ln>
                    <a:noFill/>
                  </a:ln>
                  <a:extLst>
                    <a:ext uri="{53640926-AAD7-44D8-BBD7-CCE9431645EC}">
                      <a14:shadowObscured xmlns:a14="http://schemas.microsoft.com/office/drawing/2010/main"/>
                    </a:ext>
                  </a:extLst>
                </pic:spPr>
              </pic:pic>
            </a:graphicData>
          </a:graphic>
        </wp:inline>
      </w:drawing>
    </w:r>
  </w:p>
  <w:p w:rsidR="00C9750B" w:rsidRDefault="00C97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76"/>
    <w:rsid w:val="000E6A7B"/>
    <w:rsid w:val="006536C4"/>
    <w:rsid w:val="006C2CFE"/>
    <w:rsid w:val="00864B5C"/>
    <w:rsid w:val="00C9750B"/>
    <w:rsid w:val="00CC189C"/>
    <w:rsid w:val="00CD335F"/>
    <w:rsid w:val="00DB5A17"/>
    <w:rsid w:val="00E7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89CC0E-E411-4852-AF3C-40B5E3A1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1376"/>
    <w:rPr>
      <w:color w:val="0000FF"/>
      <w:u w:val="single"/>
    </w:rPr>
  </w:style>
  <w:style w:type="character" w:styleId="Strong">
    <w:name w:val="Strong"/>
    <w:basedOn w:val="DefaultParagraphFont"/>
    <w:uiPriority w:val="22"/>
    <w:qFormat/>
    <w:rsid w:val="00E71376"/>
    <w:rPr>
      <w:b/>
      <w:bCs/>
    </w:rPr>
  </w:style>
  <w:style w:type="character" w:customStyle="1" w:styleId="apple-converted-space">
    <w:name w:val="apple-converted-space"/>
    <w:basedOn w:val="DefaultParagraphFont"/>
    <w:rsid w:val="00E71376"/>
  </w:style>
  <w:style w:type="paragraph" w:styleId="NormalWeb">
    <w:name w:val="Normal (Web)"/>
    <w:basedOn w:val="Normal"/>
    <w:uiPriority w:val="99"/>
    <w:semiHidden/>
    <w:unhideWhenUsed/>
    <w:rsid w:val="00E713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376"/>
    <w:rPr>
      <w:i/>
      <w:iCs/>
    </w:rPr>
  </w:style>
  <w:style w:type="table" w:styleId="TableGrid">
    <w:name w:val="Table Grid"/>
    <w:basedOn w:val="TableNormal"/>
    <w:uiPriority w:val="39"/>
    <w:rsid w:val="00E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0B"/>
  </w:style>
  <w:style w:type="paragraph" w:styleId="Footer">
    <w:name w:val="footer"/>
    <w:basedOn w:val="Normal"/>
    <w:link w:val="FooterChar"/>
    <w:uiPriority w:val="99"/>
    <w:unhideWhenUsed/>
    <w:rsid w:val="00C97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50B"/>
  </w:style>
  <w:style w:type="table" w:styleId="TableGridLight">
    <w:name w:val="Grid Table Light"/>
    <w:basedOn w:val="TableNormal"/>
    <w:uiPriority w:val="40"/>
    <w:rsid w:val="006C2C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C2C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C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653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458186">
      <w:bodyDiv w:val="1"/>
      <w:marLeft w:val="0"/>
      <w:marRight w:val="0"/>
      <w:marTop w:val="0"/>
      <w:marBottom w:val="0"/>
      <w:divBdr>
        <w:top w:val="none" w:sz="0" w:space="0" w:color="auto"/>
        <w:left w:val="none" w:sz="0" w:space="0" w:color="auto"/>
        <w:bottom w:val="none" w:sz="0" w:space="0" w:color="auto"/>
        <w:right w:val="none" w:sz="0" w:space="0" w:color="auto"/>
      </w:divBdr>
      <w:divsChild>
        <w:div w:id="2101484714">
          <w:marLeft w:val="0"/>
          <w:marRight w:val="0"/>
          <w:marTop w:val="0"/>
          <w:marBottom w:val="0"/>
          <w:divBdr>
            <w:top w:val="none" w:sz="0" w:space="0" w:color="auto"/>
            <w:left w:val="none" w:sz="0" w:space="0" w:color="auto"/>
            <w:bottom w:val="none" w:sz="0" w:space="0" w:color="auto"/>
            <w:right w:val="none" w:sz="0" w:space="0" w:color="auto"/>
          </w:divBdr>
        </w:div>
      </w:divsChild>
    </w:div>
    <w:div w:id="1239173300">
      <w:bodyDiv w:val="1"/>
      <w:marLeft w:val="0"/>
      <w:marRight w:val="0"/>
      <w:marTop w:val="0"/>
      <w:marBottom w:val="0"/>
      <w:divBdr>
        <w:top w:val="none" w:sz="0" w:space="0" w:color="auto"/>
        <w:left w:val="none" w:sz="0" w:space="0" w:color="auto"/>
        <w:bottom w:val="none" w:sz="0" w:space="0" w:color="auto"/>
        <w:right w:val="none" w:sz="0" w:space="0" w:color="auto"/>
      </w:divBdr>
      <w:divsChild>
        <w:div w:id="1947617424">
          <w:marLeft w:val="0"/>
          <w:marRight w:val="0"/>
          <w:marTop w:val="0"/>
          <w:marBottom w:val="0"/>
          <w:divBdr>
            <w:top w:val="none" w:sz="0" w:space="0" w:color="auto"/>
            <w:left w:val="none" w:sz="0" w:space="0" w:color="auto"/>
            <w:bottom w:val="none" w:sz="0" w:space="0" w:color="auto"/>
            <w:right w:val="none" w:sz="0" w:space="0" w:color="auto"/>
          </w:divBdr>
        </w:div>
      </w:divsChild>
    </w:div>
    <w:div w:id="1383872589">
      <w:bodyDiv w:val="1"/>
      <w:marLeft w:val="0"/>
      <w:marRight w:val="0"/>
      <w:marTop w:val="0"/>
      <w:marBottom w:val="0"/>
      <w:divBdr>
        <w:top w:val="none" w:sz="0" w:space="0" w:color="auto"/>
        <w:left w:val="none" w:sz="0" w:space="0" w:color="auto"/>
        <w:bottom w:val="none" w:sz="0" w:space="0" w:color="auto"/>
        <w:right w:val="none" w:sz="0" w:space="0" w:color="auto"/>
      </w:divBdr>
      <w:divsChild>
        <w:div w:id="1523199552">
          <w:marLeft w:val="0"/>
          <w:marRight w:val="0"/>
          <w:marTop w:val="0"/>
          <w:marBottom w:val="0"/>
          <w:divBdr>
            <w:top w:val="none" w:sz="0" w:space="0" w:color="auto"/>
            <w:left w:val="none" w:sz="0" w:space="0" w:color="auto"/>
            <w:bottom w:val="none" w:sz="0" w:space="0" w:color="auto"/>
            <w:right w:val="none" w:sz="0" w:space="0" w:color="auto"/>
          </w:divBdr>
        </w:div>
      </w:divsChild>
    </w:div>
    <w:div w:id="1497644499">
      <w:bodyDiv w:val="1"/>
      <w:marLeft w:val="0"/>
      <w:marRight w:val="0"/>
      <w:marTop w:val="0"/>
      <w:marBottom w:val="0"/>
      <w:divBdr>
        <w:top w:val="none" w:sz="0" w:space="0" w:color="auto"/>
        <w:left w:val="none" w:sz="0" w:space="0" w:color="auto"/>
        <w:bottom w:val="none" w:sz="0" w:space="0" w:color="auto"/>
        <w:right w:val="none" w:sz="0" w:space="0" w:color="auto"/>
      </w:divBdr>
      <w:divsChild>
        <w:div w:id="749932380">
          <w:marLeft w:val="0"/>
          <w:marRight w:val="0"/>
          <w:marTop w:val="0"/>
          <w:marBottom w:val="0"/>
          <w:divBdr>
            <w:top w:val="none" w:sz="0" w:space="0" w:color="auto"/>
            <w:left w:val="none" w:sz="0" w:space="0" w:color="auto"/>
            <w:bottom w:val="none" w:sz="0" w:space="0" w:color="auto"/>
            <w:right w:val="none" w:sz="0" w:space="0" w:color="auto"/>
          </w:divBdr>
        </w:div>
      </w:divsChild>
    </w:div>
    <w:div w:id="1508210335">
      <w:bodyDiv w:val="1"/>
      <w:marLeft w:val="0"/>
      <w:marRight w:val="0"/>
      <w:marTop w:val="0"/>
      <w:marBottom w:val="0"/>
      <w:divBdr>
        <w:top w:val="none" w:sz="0" w:space="0" w:color="auto"/>
        <w:left w:val="none" w:sz="0" w:space="0" w:color="auto"/>
        <w:bottom w:val="none" w:sz="0" w:space="0" w:color="auto"/>
        <w:right w:val="none" w:sz="0" w:space="0" w:color="auto"/>
      </w:divBdr>
      <w:divsChild>
        <w:div w:id="779110441">
          <w:marLeft w:val="0"/>
          <w:marRight w:val="0"/>
          <w:marTop w:val="0"/>
          <w:marBottom w:val="0"/>
          <w:divBdr>
            <w:top w:val="none" w:sz="0" w:space="0" w:color="auto"/>
            <w:left w:val="none" w:sz="0" w:space="0" w:color="auto"/>
            <w:bottom w:val="none" w:sz="0" w:space="0" w:color="auto"/>
            <w:right w:val="none" w:sz="0" w:space="0" w:color="auto"/>
          </w:divBdr>
        </w:div>
      </w:divsChild>
    </w:div>
    <w:div w:id="1855655916">
      <w:bodyDiv w:val="1"/>
      <w:marLeft w:val="0"/>
      <w:marRight w:val="0"/>
      <w:marTop w:val="0"/>
      <w:marBottom w:val="0"/>
      <w:divBdr>
        <w:top w:val="none" w:sz="0" w:space="0" w:color="auto"/>
        <w:left w:val="none" w:sz="0" w:space="0" w:color="auto"/>
        <w:bottom w:val="none" w:sz="0" w:space="0" w:color="auto"/>
        <w:right w:val="none" w:sz="0" w:space="0" w:color="auto"/>
      </w:divBdr>
      <w:divsChild>
        <w:div w:id="1570380725">
          <w:marLeft w:val="0"/>
          <w:marRight w:val="0"/>
          <w:marTop w:val="0"/>
          <w:marBottom w:val="0"/>
          <w:divBdr>
            <w:top w:val="none" w:sz="0" w:space="0" w:color="auto"/>
            <w:left w:val="none" w:sz="0" w:space="0" w:color="auto"/>
            <w:bottom w:val="none" w:sz="0" w:space="0" w:color="auto"/>
            <w:right w:val="none" w:sz="0" w:space="0" w:color="auto"/>
          </w:divBdr>
        </w:div>
      </w:divsChild>
    </w:div>
    <w:div w:id="2026052947">
      <w:bodyDiv w:val="1"/>
      <w:marLeft w:val="0"/>
      <w:marRight w:val="0"/>
      <w:marTop w:val="0"/>
      <w:marBottom w:val="0"/>
      <w:divBdr>
        <w:top w:val="none" w:sz="0" w:space="0" w:color="auto"/>
        <w:left w:val="none" w:sz="0" w:space="0" w:color="auto"/>
        <w:bottom w:val="none" w:sz="0" w:space="0" w:color="auto"/>
        <w:right w:val="none" w:sz="0" w:space="0" w:color="auto"/>
      </w:divBdr>
      <w:divsChild>
        <w:div w:id="212207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usacanada.ca/canadian-education-system/" TargetMode="External"/><Relationship Id="rId13" Type="http://schemas.openxmlformats.org/officeDocument/2006/relationships/hyperlink" Target="http://educationusacanada.ca/canadian-education-system/" TargetMode="External"/><Relationship Id="rId3" Type="http://schemas.openxmlformats.org/officeDocument/2006/relationships/webSettings" Target="webSettings.xml"/><Relationship Id="rId7" Type="http://schemas.openxmlformats.org/officeDocument/2006/relationships/hyperlink" Target="http://educationusacanada.ca/canadian-education-system/"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educationusacanada.ca/canadian-education-syst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educationusacanada.ca/canadian-education-system/" TargetMode="External"/><Relationship Id="rId4" Type="http://schemas.openxmlformats.org/officeDocument/2006/relationships/footnotes" Target="footnotes.xml"/><Relationship Id="rId9" Type="http://schemas.openxmlformats.org/officeDocument/2006/relationships/hyperlink" Target="http://educationusacanada.ca/canadian-education-system/" TargetMode="External"/><Relationship Id="rId14" Type="http://schemas.openxmlformats.org/officeDocument/2006/relationships/hyperlink" Target="http://educationusacanada.ca/canadian-education-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Jenika Heim</dc:creator>
  <cp:keywords/>
  <dc:description/>
  <cp:lastModifiedBy>Jenika Heim</cp:lastModifiedBy>
  <cp:revision>2</cp:revision>
  <cp:lastPrinted>2016-05-25T19:34:00Z</cp:lastPrinted>
  <dcterms:created xsi:type="dcterms:W3CDTF">2016-05-25T18:51:00Z</dcterms:created>
  <dcterms:modified xsi:type="dcterms:W3CDTF">2016-05-25T19:37:00Z</dcterms:modified>
</cp:coreProperties>
</file>